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КУТУШЕВСКИЙ  СЕЛЬСОВЕТ</w:t>
      </w:r>
    </w:p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5126" w:rsidRPr="00385DAC" w:rsidRDefault="00BD5126" w:rsidP="00D929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385DAC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5126" w:rsidRPr="004136D8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РЕШЕНИЕ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DAC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385D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385DAC">
        <w:rPr>
          <w:rFonts w:ascii="Times New Roman" w:hAnsi="Times New Roman" w:cs="Times New Roman"/>
          <w:b w:val="0"/>
          <w:sz w:val="24"/>
          <w:szCs w:val="24"/>
        </w:rPr>
        <w:t>Кутуш</w:t>
      </w:r>
      <w:proofErr w:type="spellEnd"/>
    </w:p>
    <w:p w:rsidR="00BD5126" w:rsidRPr="00385DAC" w:rsidRDefault="00D92967" w:rsidP="00BD5126">
      <w:pPr>
        <w:rPr>
          <w:color w:val="000000"/>
        </w:rPr>
      </w:pPr>
      <w:r>
        <w:rPr>
          <w:color w:val="000000"/>
        </w:rPr>
        <w:t>27.12</w:t>
      </w:r>
      <w:r w:rsidR="00BD5126" w:rsidRPr="00385DAC">
        <w:rPr>
          <w:color w:val="000000"/>
        </w:rPr>
        <w:t xml:space="preserve">.2018                                                                                          </w:t>
      </w:r>
      <w:r w:rsidR="00BD5126">
        <w:rPr>
          <w:color w:val="000000"/>
        </w:rPr>
        <w:t xml:space="preserve">             №</w:t>
      </w:r>
      <w:r>
        <w:rPr>
          <w:color w:val="000000"/>
        </w:rPr>
        <w:t xml:space="preserve"> 30/5</w:t>
      </w:r>
      <w:r w:rsidR="00BD5126">
        <w:rPr>
          <w:color w:val="000000"/>
        </w:rPr>
        <w:t xml:space="preserve"> </w:t>
      </w:r>
      <w:proofErr w:type="spellStart"/>
      <w:r w:rsidR="00BD5126" w:rsidRPr="00385DAC">
        <w:rPr>
          <w:color w:val="000000"/>
        </w:rPr>
        <w:t>р.С</w:t>
      </w:r>
      <w:proofErr w:type="spellEnd"/>
      <w:r w:rsidR="00BD5126" w:rsidRPr="00385DAC">
        <w:rPr>
          <w:color w:val="000000"/>
        </w:rPr>
        <w:t>.</w:t>
      </w:r>
    </w:p>
    <w:p w:rsidR="0033445B" w:rsidRDefault="0033445B" w:rsidP="0033445B">
      <w:pPr>
        <w:ind w:right="3775"/>
        <w:jc w:val="center"/>
        <w:outlineLvl w:val="0"/>
        <w:rPr>
          <w:sz w:val="28"/>
          <w:szCs w:val="28"/>
        </w:rPr>
      </w:pPr>
    </w:p>
    <w:p w:rsidR="0033445B" w:rsidRDefault="0033445B" w:rsidP="0033445B">
      <w:pPr>
        <w:ind w:right="2160"/>
        <w:jc w:val="both"/>
      </w:pPr>
      <w:r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3445B" w:rsidRDefault="0033445B" w:rsidP="0033445B"/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внесении изменений в Закон «О градостроительной деятельности на территории Оренбургской области, руководствуясь Уставом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 момента вступления в силу данного решения считать утратившим силу </w:t>
      </w:r>
      <w:r>
        <w:rPr>
          <w:sz w:val="28"/>
          <w:szCs w:val="28"/>
        </w:rPr>
        <w:t xml:space="preserve">решение Совета  депутатов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 w:rsidR="00BD5126">
        <w:rPr>
          <w:sz w:val="28"/>
          <w:szCs w:val="28"/>
        </w:rPr>
        <w:t xml:space="preserve"> сельсовета   от 28.11.2018 г. № 28/4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Правил благоустройства территории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33445B" w:rsidRDefault="0033445B" w:rsidP="003344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после его официального опубликования на официальном сайте администрации </w:t>
      </w:r>
      <w:proofErr w:type="spellStart"/>
      <w:r w:rsidR="00BD5126">
        <w:rPr>
          <w:rFonts w:ascii="Times New Roman" w:hAnsi="Times New Roman" w:cs="Times New Roman"/>
          <w:b w:val="0"/>
          <w:sz w:val="28"/>
          <w:szCs w:val="28"/>
        </w:rPr>
        <w:t>Кутушевского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3445B" w:rsidRDefault="00BD5126" w:rsidP="0033445B">
      <w:pPr>
        <w:pStyle w:val="ConsTitle"/>
        <w:widowControl/>
        <w:ind w:right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Кутушевский</w:t>
      </w:r>
      <w:proofErr w:type="spellEnd"/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 сельсовет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А.М.Татлыбаев</w:t>
      </w:r>
      <w:proofErr w:type="spellEnd"/>
      <w:r w:rsidR="0033445B">
        <w:rPr>
          <w:sz w:val="28"/>
          <w:szCs w:val="28"/>
        </w:rPr>
        <w:tab/>
      </w: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BD5126" w:rsidRDefault="00BD5126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3445B" w:rsidRDefault="00BD5126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Кутушевского</w:t>
      </w:r>
      <w:proofErr w:type="spellEnd"/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BD512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92967">
        <w:rPr>
          <w:rFonts w:ascii="Times New Roman" w:hAnsi="Times New Roman" w:cs="Times New Roman"/>
          <w:b w:val="0"/>
          <w:sz w:val="28"/>
          <w:szCs w:val="28"/>
        </w:rPr>
        <w:t xml:space="preserve">               от 27.12</w:t>
      </w:r>
      <w:r w:rsidR="00BD5126">
        <w:rPr>
          <w:rFonts w:ascii="Times New Roman" w:hAnsi="Times New Roman" w:cs="Times New Roman"/>
          <w:b w:val="0"/>
          <w:sz w:val="28"/>
          <w:szCs w:val="28"/>
        </w:rPr>
        <w:t xml:space="preserve">.2018 г. № </w:t>
      </w:r>
      <w:r w:rsidR="00D92967">
        <w:rPr>
          <w:rFonts w:ascii="Times New Roman" w:hAnsi="Times New Roman" w:cs="Times New Roman"/>
          <w:b w:val="0"/>
          <w:sz w:val="28"/>
          <w:szCs w:val="28"/>
        </w:rPr>
        <w:t>30/5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45B" w:rsidRDefault="0033445B" w:rsidP="0033445B"/>
    <w:p w:rsidR="0033445B" w:rsidRDefault="0033445B" w:rsidP="0033445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BD5126">
        <w:rPr>
          <w:b/>
          <w:sz w:val="28"/>
          <w:szCs w:val="28"/>
        </w:rPr>
        <w:t>Кутушевский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33445B" w:rsidRDefault="0033445B" w:rsidP="0033445B">
      <w:pPr>
        <w:jc w:val="center"/>
        <w:rPr>
          <w:color w:val="FF0000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   сельского поселения (далее по тексту - Правила) устанавливают основные требования по содержанию   объектов благоустройства муниципального образования и содержанию домашних животных.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направлены на повышение уровня благоустройства и содержания территории муниципального образования «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(далее –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сельсовет) и создание благоприятной для жизни и здоровья людей среды обитания.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Настоящие Правила устанавливают порядок и требования по содержанию и уборке территорий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осуществляется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</w:t>
      </w:r>
      <w:proofErr w:type="gramEnd"/>
      <w:r>
        <w:rPr>
          <w:sz w:val="28"/>
          <w:szCs w:val="28"/>
        </w:rPr>
        <w:t xml:space="preserve"> Министерства регионального развития РФ от 27.12.2011 № 613, иными областными законами и нормативными правовыми актами Оренбургской области,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иными муниципальными правовыми актами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и настоящими Правилами.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понятия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 местного самоуправления.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Границы прилегающей территории определяются правилами благоустройства территории сельского поселения (далее - правила благоустройства)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</w:t>
      </w:r>
      <w:proofErr w:type="gramEnd"/>
      <w:r>
        <w:rPr>
          <w:sz w:val="28"/>
          <w:szCs w:val="28"/>
        </w:rPr>
        <w:t xml:space="preserve"> общей границы, максимальной и минимальной площади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 и минимальная площадь прилегающей территории устанавливается правилами благоустройства.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 прилегающей территории определяются в соответствии со следующими требованиями: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парки, скверы, бульвары, набережные, береговые полосы водных объектов общего пользования, а также иные территории, содержание </w:t>
      </w:r>
      <w:r>
        <w:rPr>
          <w:sz w:val="28"/>
          <w:szCs w:val="28"/>
        </w:rPr>
        <w:lastRenderedPageBreak/>
        <w:t>которых является обязанностью правообладателя в соответствии с законодательством Российской Федерации;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пересечение границ прилегающих территорий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t xml:space="preserve"> </w:t>
      </w:r>
      <w:r>
        <w:rPr>
          <w:sz w:val="28"/>
          <w:szCs w:val="28"/>
        </w:rPr>
        <w:t>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здания, строения, сооружения, земельные участки.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3.3.4.</w:t>
      </w:r>
      <w:r>
        <w:t xml:space="preserve"> </w:t>
      </w:r>
      <w:proofErr w:type="gramStart"/>
      <w:r>
        <w:rPr>
          <w:sz w:val="28"/>
          <w:szCs w:val="28"/>
        </w:rPr>
        <w:t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благоустройства, не позднее одного месяца со дня ее</w:t>
      </w:r>
      <w:proofErr w:type="gramEnd"/>
      <w:r>
        <w:rPr>
          <w:sz w:val="28"/>
          <w:szCs w:val="28"/>
        </w:rPr>
        <w:t xml:space="preserve"> утверждения (изменения)".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3.3.5.При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гаражи, хозяйственные постройки в зоне жилой застройки населенных пунктов: на площади в радиусе до 15м;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линии электропередач 220В: вокруг опор в радиусе 2м;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уборка вокруг остановочных павильонов пассажирского транспорта в радиусе 10 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закреплены;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8.1.1. В населенных пунктах (улиц, переулков) – на администрацию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     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Уборка территорий населенных пунктов </w:t>
      </w:r>
      <w:proofErr w:type="spellStart"/>
      <w:r w:rsidR="00BD5126">
        <w:rPr>
          <w:b/>
          <w:sz w:val="28"/>
          <w:szCs w:val="28"/>
        </w:rPr>
        <w:t>Кутушевского</w:t>
      </w:r>
      <w:proofErr w:type="spellEnd"/>
      <w:r>
        <w:rPr>
          <w:b/>
          <w:sz w:val="28"/>
          <w:szCs w:val="28"/>
        </w:rPr>
        <w:t xml:space="preserve"> сельсовета    по сезонам года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 запрещается выжигание сухой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требования экологических,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гигиенических, противопожарных правил и нормативов.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Выдача разрешений на установку точек выносной и мелкорозничной торговли производится главой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</w:t>
      </w:r>
      <w:r w:rsidR="00AE263D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 xml:space="preserve">ответствии </w:t>
      </w:r>
      <w:r>
        <w:rPr>
          <w:sz w:val="28"/>
          <w:szCs w:val="28"/>
        </w:rPr>
        <w:lastRenderedPageBreak/>
        <w:t>с утвержденным перечнем мест, на которых разрешено осуществлять торговлю, оказывать услуги в нестационарной сети.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До начала земляных работ строительной организации следует вызвать на место представителей эксплуатационных служб, которые обязаны </w:t>
      </w:r>
      <w:r>
        <w:rPr>
          <w:sz w:val="28"/>
          <w:szCs w:val="28"/>
        </w:rPr>
        <w:lastRenderedPageBreak/>
        <w:t>уточнить на месте положение своих коммуникаций и зафиксировать в письменной форме особые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17.Установка указателей с наименованиями улиц и номерами домов</w:t>
      </w: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17.1. На территории сельского поселения осуществляется установка следующих информационных указателей: </w:t>
      </w:r>
    </w:p>
    <w:p w:rsidR="0033445B" w:rsidRDefault="0033445B" w:rsidP="0033445B">
      <w:pPr>
        <w:numPr>
          <w:ilvl w:val="0"/>
          <w:numId w:val="1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наименованиями улиц;</w:t>
      </w:r>
    </w:p>
    <w:p w:rsidR="0033445B" w:rsidRDefault="0033445B" w:rsidP="0033445B">
      <w:pPr>
        <w:numPr>
          <w:ilvl w:val="0"/>
          <w:numId w:val="2"/>
        </w:numPr>
        <w:tabs>
          <w:tab w:val="left" w:pos="9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совмещенные указатели с наименованиями улиц и номерами объектов адресации (далее - совмещенные указатели); </w:t>
      </w:r>
    </w:p>
    <w:p w:rsidR="0033445B" w:rsidRDefault="0033445B" w:rsidP="0033445B">
      <w:pPr>
        <w:numPr>
          <w:ilvl w:val="0"/>
          <w:numId w:val="2"/>
        </w:numPr>
        <w:tabs>
          <w:tab w:val="left" w:pos="10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номерами объектов адресации (далее - указатели с номерами домов);</w:t>
      </w:r>
    </w:p>
    <w:p w:rsidR="0033445B" w:rsidRDefault="0033445B" w:rsidP="0033445B">
      <w:pPr>
        <w:numPr>
          <w:ilvl w:val="0"/>
          <w:numId w:val="2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информацией о расположении объектов.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17.3.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17.5.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На одноэтажных индивидуальных жилых домах допускается установка указателей на высоте не менее 2,0 м от уровня земли.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17.7.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Контроль и ответственность за нарушение Правил бла</w:t>
      </w:r>
      <w:r>
        <w:rPr>
          <w:b/>
          <w:sz w:val="28"/>
          <w:szCs w:val="28"/>
        </w:rPr>
        <w:softHyphen/>
        <w:t xml:space="preserve">гоустройства, уборки и санитарного содержания территории </w:t>
      </w:r>
      <w:proofErr w:type="spellStart"/>
      <w:r w:rsidR="00BD5126">
        <w:rPr>
          <w:b/>
          <w:sz w:val="28"/>
          <w:szCs w:val="28"/>
        </w:rPr>
        <w:t>Кутушевского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 xml:space="preserve">нистрации района и администрации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18.1.2. Органы внутренних дел;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18.1.3. Органы санитарно-эпидемиологического надзора;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18.1.4. Отдел архитектуры, градостроительства администрации Новосергиевского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18.2. За нарушение настоящих Правил юридические и физиче</w:t>
      </w:r>
      <w:r>
        <w:rPr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1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0F2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3445B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263D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5126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3A8B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92967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2018-12-06T07:06:00Z</dcterms:created>
  <dcterms:modified xsi:type="dcterms:W3CDTF">2018-12-25T04:43:00Z</dcterms:modified>
</cp:coreProperties>
</file>