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168"/>
        <w:tblLayout w:type="fixed"/>
      </w:tblPr>
      <w:tblGrid>
        <w:gridCol w:w="2694"/>
        <w:gridCol w:w="927"/>
        <w:gridCol w:w="1979"/>
        <w:gridCol w:w="886"/>
        <w:gridCol w:w="1979"/>
        <w:gridCol w:w="839"/>
        <w:gridCol w:w="1969"/>
        <w:gridCol w:w="10"/>
      </w:tblGrid>
      <w:tr>
        <w:trPr>
          <w:trHeight w:hRule="atLeast" w:val="255"/>
        </w:trPr>
        <w:tc>
          <w:tcPr>
            <w:tcW w:type="dxa" w:w="1127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tbl>
            <w:tblPr>
              <w:tblStyle w:val="Style_2"/>
              <w:tblBorders>
                <w:top w:color="000000" w:val="nil"/>
                <w:left w:color="000000" w:val="nil"/>
                <w:bottom w:color="000000" w:val="nil"/>
                <w:right w:color="000000" w:val="nil"/>
                <w:insideH w:color="000000" w:val="nil"/>
                <w:insideV w:color="000000" w:val="nil"/>
              </w:tblBorders>
              <w:tblLayout w:type="fixed"/>
            </w:tblPr>
            <w:tblGrid>
              <w:gridCol w:w="5521"/>
              <w:gridCol w:w="5521"/>
            </w:tblGrid>
            <w:tr>
              <w:tc>
                <w:tcPr>
                  <w:tcW w:type="dxa" w:w="5521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01000000">
                  <w:pPr>
                    <w:ind/>
                    <w:jc w:val="right"/>
                    <w:rPr>
                      <w:rFonts w:ascii="Arial" w:hAnsi="Arial"/>
                      <w:sz w:val="28"/>
                      <w:u w:val="single"/>
                    </w:rPr>
                  </w:pPr>
                </w:p>
              </w:tc>
              <w:tc>
                <w:tcPr>
                  <w:tcW w:type="dxa" w:w="5521"/>
                  <w:tcBorders>
                    <w:top w:color="000000" w:val="nil"/>
                    <w:left w:color="000000" w:val="nil"/>
                    <w:bottom w:color="000000" w:val="nil"/>
                    <w:right w:color="000000" w:val="nil"/>
                  </w:tcBorders>
                </w:tcPr>
                <w:p w14:paraId="0200000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 xml:space="preserve">Приложение </w:t>
                  </w:r>
                  <w:r>
                    <w:rPr>
                      <w:rFonts w:ascii="Arial" w:hAnsi="Arial"/>
                      <w:sz w:val="24"/>
                    </w:rPr>
                    <w:t>9</w:t>
                  </w:r>
                </w:p>
                <w:p w14:paraId="0300000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к</w:t>
                  </w:r>
                  <w:r>
                    <w:rPr>
                      <w:rFonts w:ascii="Arial" w:hAnsi="Arial"/>
                      <w:sz w:val="24"/>
                    </w:rPr>
                    <w:t xml:space="preserve"> решению Совета депутатов «О бюджете муниципального образования </w:t>
                  </w:r>
                  <w:r>
                    <w:rPr>
                      <w:rFonts w:ascii="Arial" w:hAnsi="Arial"/>
                      <w:sz w:val="24"/>
                    </w:rPr>
                    <w:t>Кутушевский</w:t>
                  </w:r>
                  <w:r>
                    <w:rPr>
                      <w:rFonts w:ascii="Arial" w:hAnsi="Arial"/>
                      <w:sz w:val="24"/>
                    </w:rPr>
                    <w:t xml:space="preserve"> сельсовет </w:t>
                  </w:r>
                  <w:r>
                    <w:rPr>
                      <w:rFonts w:ascii="Arial" w:hAnsi="Arial"/>
                      <w:sz w:val="24"/>
                    </w:rPr>
                    <w:t>Новосергиевского</w:t>
                  </w:r>
                  <w:r>
                    <w:rPr>
                      <w:rFonts w:ascii="Arial" w:hAnsi="Arial"/>
                      <w:sz w:val="24"/>
                    </w:rPr>
                    <w:t xml:space="preserve"> района Оренбургской области на 2024 год и на плановый период 2025 и 2026 годов»</w:t>
                  </w:r>
                </w:p>
                <w:p w14:paraId="0400000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от 25.12.2023 г.</w:t>
                  </w:r>
                </w:p>
                <w:p w14:paraId="05000000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№ 30/1 р.С.</w:t>
                  </w:r>
                </w:p>
              </w:tc>
            </w:tr>
          </w:tbl>
          <w:p w14:paraId="06000000">
            <w:pPr>
              <w:spacing w:after="0" w:line="240" w:lineRule="auto"/>
              <w:ind/>
              <w:jc w:val="right"/>
              <w:rPr>
                <w:rFonts w:ascii="Arial" w:hAnsi="Arial"/>
                <w:sz w:val="28"/>
                <w:u w:val="single"/>
              </w:rPr>
            </w:pPr>
          </w:p>
          <w:p w14:paraId="07000000">
            <w:pPr>
              <w:ind/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 xml:space="preserve">Программа муниципальных внутренних заимствований муниципального образования </w:t>
            </w:r>
            <w:r>
              <w:rPr>
                <w:rFonts w:ascii="Arial" w:hAnsi="Arial"/>
                <w:b w:val="1"/>
                <w:sz w:val="28"/>
              </w:rPr>
              <w:t>Кутушевский</w:t>
            </w:r>
            <w:r>
              <w:rPr>
                <w:rFonts w:ascii="Arial" w:hAnsi="Arial"/>
                <w:b w:val="1"/>
                <w:sz w:val="28"/>
              </w:rPr>
              <w:t xml:space="preserve"> сельсовет </w:t>
            </w:r>
            <w:r>
              <w:rPr>
                <w:rFonts w:ascii="Arial" w:hAnsi="Arial"/>
                <w:b w:val="1"/>
                <w:sz w:val="28"/>
              </w:rPr>
              <w:t>Новосергиевского</w:t>
            </w:r>
            <w:r>
              <w:rPr>
                <w:rFonts w:ascii="Arial" w:hAnsi="Arial"/>
                <w:b w:val="1"/>
                <w:sz w:val="28"/>
              </w:rPr>
              <w:t xml:space="preserve"> района Оренбургской области на 202</w:t>
            </w:r>
            <w:r>
              <w:rPr>
                <w:rFonts w:ascii="Arial" w:hAnsi="Arial"/>
                <w:b w:val="1"/>
                <w:sz w:val="28"/>
              </w:rPr>
              <w:t>4</w:t>
            </w:r>
            <w:r>
              <w:rPr>
                <w:rFonts w:ascii="Arial" w:hAnsi="Arial"/>
                <w:b w:val="1"/>
                <w:sz w:val="28"/>
              </w:rPr>
              <w:t xml:space="preserve"> год и на плановый период 202</w:t>
            </w:r>
            <w:r>
              <w:rPr>
                <w:rFonts w:ascii="Arial" w:hAnsi="Arial"/>
                <w:b w:val="1"/>
                <w:sz w:val="28"/>
              </w:rPr>
              <w:t>5</w:t>
            </w:r>
            <w:r>
              <w:rPr>
                <w:rFonts w:ascii="Arial" w:hAnsi="Arial"/>
                <w:b w:val="1"/>
                <w:sz w:val="28"/>
              </w:rPr>
              <w:t xml:space="preserve"> и 202</w:t>
            </w:r>
            <w:r>
              <w:rPr>
                <w:rFonts w:ascii="Arial" w:hAnsi="Arial"/>
                <w:b w:val="1"/>
                <w:sz w:val="28"/>
              </w:rPr>
              <w:t>6</w:t>
            </w:r>
            <w:r>
              <w:rPr>
                <w:rFonts w:ascii="Arial" w:hAnsi="Arial"/>
                <w:b w:val="1"/>
                <w:sz w:val="28"/>
              </w:rPr>
              <w:t xml:space="preserve"> годов</w:t>
            </w:r>
          </w:p>
          <w:p w14:paraId="08000000">
            <w:pPr>
              <w:spacing w:after="0" w:line="240" w:lineRule="auto"/>
              <w:ind/>
              <w:jc w:val="right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(тыс</w:t>
            </w:r>
            <w:r>
              <w:rPr>
                <w:rFonts w:ascii="Arial" w:hAnsi="Arial"/>
                <w:sz w:val="20"/>
                <w:u w:val="single"/>
              </w:rPr>
              <w:t>.р</w:t>
            </w:r>
            <w:r>
              <w:rPr>
                <w:rFonts w:ascii="Arial" w:hAnsi="Arial"/>
                <w:sz w:val="20"/>
                <w:u w:val="single"/>
              </w:rPr>
              <w:t>ублей)</w:t>
            </w:r>
          </w:p>
        </w:tc>
        <w:tc>
          <w:tcPr>
            <w:tcW w:type="dxa" w:w="10"/>
          </w:tcPr>
          <w:p/>
        </w:tc>
      </w:tr>
      <w:tr>
        <w:trPr>
          <w:trHeight w:hRule="atLeast" w:val="157"/>
        </w:trPr>
        <w:tc>
          <w:tcPr>
            <w:tcW w:type="dxa" w:w="269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Наименование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202</w:t>
            </w:r>
            <w:r>
              <w:rPr>
                <w:rFonts w:ascii="Arial" w:hAnsi="Arial"/>
                <w:color w:val="000000"/>
                <w:sz w:val="28"/>
              </w:rPr>
              <w:t>4</w:t>
            </w:r>
            <w:r>
              <w:rPr>
                <w:rFonts w:ascii="Arial" w:hAnsi="Arial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Предельный срок погашения долговых обязательств</w:t>
            </w:r>
          </w:p>
          <w:p w14:paraId="0C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202</w:t>
            </w:r>
            <w:r>
              <w:rPr>
                <w:rFonts w:ascii="Arial" w:hAnsi="Arial"/>
                <w:color w:val="000000"/>
                <w:sz w:val="28"/>
              </w:rPr>
              <w:t>4</w:t>
            </w:r>
            <w:r>
              <w:rPr>
                <w:rFonts w:ascii="Arial" w:hAnsi="Arial"/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202</w:t>
            </w:r>
            <w:r>
              <w:rPr>
                <w:rFonts w:ascii="Arial" w:hAnsi="Arial"/>
                <w:color w:val="000000"/>
                <w:sz w:val="28"/>
              </w:rPr>
              <w:t>5</w:t>
            </w:r>
            <w:r>
              <w:rPr>
                <w:rFonts w:ascii="Arial" w:hAnsi="Arial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Предельный срок погашения долговых обязательств 202</w:t>
            </w:r>
            <w:r>
              <w:rPr>
                <w:rFonts w:ascii="Arial" w:hAnsi="Arial"/>
                <w:color w:val="000000"/>
                <w:sz w:val="28"/>
              </w:rPr>
              <w:t>5</w:t>
            </w:r>
            <w:r>
              <w:rPr>
                <w:rFonts w:ascii="Arial" w:hAnsi="Arial"/>
                <w:color w:val="000000"/>
                <w:sz w:val="28"/>
              </w:rPr>
              <w:t xml:space="preserve"> года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202</w:t>
            </w:r>
            <w:r>
              <w:rPr>
                <w:rFonts w:ascii="Arial" w:hAnsi="Arial"/>
                <w:color w:val="000000"/>
                <w:sz w:val="28"/>
              </w:rPr>
              <w:t>6</w:t>
            </w:r>
            <w:r>
              <w:rPr>
                <w:rFonts w:ascii="Arial" w:hAnsi="Arial"/>
                <w:color w:val="000000"/>
                <w:sz w:val="28"/>
              </w:rPr>
              <w:t xml:space="preserve"> год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Предельный срок погашения долговых обязательств</w:t>
            </w:r>
          </w:p>
          <w:p w14:paraId="11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202</w:t>
            </w:r>
            <w:r>
              <w:rPr>
                <w:rFonts w:ascii="Arial" w:hAnsi="Arial"/>
                <w:color w:val="000000"/>
                <w:sz w:val="28"/>
              </w:rPr>
              <w:t>6</w:t>
            </w:r>
            <w:r>
              <w:rPr>
                <w:rFonts w:ascii="Arial" w:hAnsi="Arial"/>
                <w:color w:val="000000"/>
                <w:sz w:val="28"/>
              </w:rPr>
              <w:t xml:space="preserve"> года</w:t>
            </w: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Муниципальные ценные бумаги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3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before="180"/>
              <w:ind/>
              <w:rPr>
                <w:rFonts w:ascii="Arial" w:hAnsi="Arial"/>
                <w:b w:val="1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855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numPr>
                <w:ilvl w:val="0"/>
                <w:numId w:val="1"/>
              </w:numPr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Размещение муниципальных ценных бумаг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A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C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E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numPr>
                <w:ilvl w:val="0"/>
                <w:numId w:val="1"/>
              </w:numPr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Погашение муниципальных  ценных бумаг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1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3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Кредиты от кредитных организаций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8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3"/>
              <w:spacing w:before="180"/>
              <w:ind/>
              <w:rPr>
                <w:rFonts w:ascii="Arial" w:hAnsi="Arial"/>
                <w:b w:val="1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C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</w:p>
        </w:tc>
      </w:tr>
      <w:tr>
        <w:trPr>
          <w:trHeight w:hRule="exact" w:val="1370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1.Привлечение кредитов от кредитных организаций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F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31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32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3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35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36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7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39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3A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2.Погашение кредитов, привлеченных от кредитных организаций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C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0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3"/>
              <w:spacing w:before="180"/>
              <w:ind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3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spacing w:before="180"/>
              <w:ind/>
              <w:rPr>
                <w:rFonts w:ascii="Arial" w:hAnsi="Arial"/>
                <w:b w:val="1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5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7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b w:val="1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3"/>
              <w:spacing w:before="180"/>
              <w:ind/>
              <w:jc w:val="center"/>
              <w:rPr>
                <w:rFonts w:ascii="Arial" w:hAnsi="Arial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1708"/>
        </w:trP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3"/>
              <w:spacing w:before="180"/>
              <w:ind/>
              <w:rPr>
                <w:rFonts w:ascii="Arial" w:hAnsi="Arial"/>
                <w:b w:val="1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4C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4D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4E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  <w:p w14:paraId="4F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  <w:tr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2. </w:t>
            </w:r>
            <w:r>
              <w:rPr>
                <w:rFonts w:ascii="Arial" w:hAnsi="Arial"/>
                <w:color w:val="000000"/>
                <w:sz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type="dxa" w:w="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5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spacing w:before="180"/>
              <w:ind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9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0,0</w:t>
            </w:r>
          </w:p>
        </w:tc>
        <w:tc>
          <w:tcPr>
            <w:tcW w:type="dxa" w:w="19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spacing w:before="180"/>
              <w:ind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5B000000">
      <w:pPr>
        <w:pStyle w:val="Style_3"/>
        <w:spacing w:after="0" w:before="180"/>
        <w:ind/>
        <w:jc w:val="center"/>
        <w:rPr>
          <w:rFonts w:ascii="Arial" w:hAnsi="Arial"/>
          <w:color w:val="00000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4"/>
    <w:link w:val="Style_9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9_ch" w:type="character">
    <w:name w:val="heading 3"/>
    <w:basedOn w:val="Style_4_ch"/>
    <w:link w:val="Style_9"/>
    <w:rPr>
      <w:rFonts w:ascii="Times New Roman" w:hAnsi="Times New Roman"/>
      <w:b w:val="1"/>
      <w:sz w:val="27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Emphasis"/>
    <w:basedOn w:val="Style_11"/>
    <w:link w:val="Style_13_ch"/>
    <w:rPr>
      <w:i w:val="1"/>
    </w:rPr>
  </w:style>
  <w:style w:styleId="Style_13_ch" w:type="character">
    <w:name w:val="Emphasis"/>
    <w:basedOn w:val="Style_11_ch"/>
    <w:link w:val="Style_13"/>
    <w:rPr>
      <w:i w:val="1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1"/>
    <w:link w:val="Style_16_ch"/>
    <w:rPr>
      <w:color w:themeColor="hyperlink" w:val="0000FF"/>
      <w:u w:val="single"/>
    </w:rPr>
  </w:style>
  <w:style w:styleId="Style_16_ch" w:type="character">
    <w:name w:val="Hyperlink"/>
    <w:basedOn w:val="Style_11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Normal (Web)"/>
    <w:basedOn w:val="Style_4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Normal (Web)"/>
    <w:basedOn w:val="Style_4_ch"/>
    <w:link w:val="Style_26"/>
    <w:rPr>
      <w:rFonts w:ascii="Times New Roman" w:hAnsi="Times New Roman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paragraph">
    <w:name w:val="paragraph"/>
    <w:basedOn w:val="Style_4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paragraph"/>
    <w:basedOn w:val="Style_4_ch"/>
    <w:link w:val="Style_3"/>
    <w:rPr>
      <w:rFonts w:ascii="Times New Roman" w:hAnsi="Times New Roman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2023-12-19T07:57:57Z</dcterms:modified>
</cp:coreProperties>
</file>